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136A5" w14:textId="77777777" w:rsidR="00D03C14" w:rsidRPr="00927CE7" w:rsidRDefault="00D03C14" w:rsidP="00D03C14">
      <w:pPr>
        <w:jc w:val="center"/>
        <w:rPr>
          <w:b/>
          <w:bCs/>
        </w:rPr>
      </w:pPr>
    </w:p>
    <w:p w14:paraId="7960CFB7" w14:textId="64AA48B5" w:rsidR="00FD4139" w:rsidRPr="00FD4139" w:rsidRDefault="00FD4139" w:rsidP="00FD4139">
      <w:pPr>
        <w:jc w:val="center"/>
        <w:rPr>
          <w:bCs/>
        </w:rPr>
      </w:pPr>
      <w:r w:rsidRPr="00FD4139">
        <w:rPr>
          <w:bCs/>
          <w:noProof/>
        </w:rPr>
        <w:drawing>
          <wp:inline distT="0" distB="0" distL="0" distR="0" wp14:anchorId="302114F2" wp14:editId="27F1071A">
            <wp:extent cx="433070" cy="54229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7EE30" w14:textId="6611157C" w:rsidR="00FD4139" w:rsidRPr="00FD4139" w:rsidRDefault="00FD4139" w:rsidP="00FD4139">
      <w:pPr>
        <w:jc w:val="center"/>
        <w:rPr>
          <w:bCs/>
        </w:rPr>
      </w:pPr>
      <w:r w:rsidRPr="00FD4139">
        <w:rPr>
          <w:bCs/>
        </w:rPr>
        <w:t>АБАНСКИЙ СЕЛЬСКИЙ СОВЕТ ДЕПУТАТОВ</w:t>
      </w:r>
    </w:p>
    <w:p w14:paraId="78B9756F" w14:textId="77777777" w:rsidR="00FD4139" w:rsidRPr="00FD4139" w:rsidRDefault="00FD4139" w:rsidP="00FD4139">
      <w:pPr>
        <w:jc w:val="center"/>
        <w:rPr>
          <w:bCs/>
        </w:rPr>
      </w:pPr>
      <w:r w:rsidRPr="00FD4139">
        <w:rPr>
          <w:bCs/>
        </w:rPr>
        <w:t>АБАНСКОГО РАЙОНА КРАСНОЯРСКОГО КРАЯ</w:t>
      </w:r>
    </w:p>
    <w:p w14:paraId="7DDB26E5" w14:textId="77777777" w:rsidR="00FD4139" w:rsidRPr="00FD4139" w:rsidRDefault="00FD4139" w:rsidP="00FD4139">
      <w:pPr>
        <w:jc w:val="center"/>
        <w:rPr>
          <w:bCs/>
        </w:rPr>
      </w:pPr>
    </w:p>
    <w:p w14:paraId="03DA48DD" w14:textId="387222C5" w:rsidR="00D03C14" w:rsidRPr="00FD4139" w:rsidRDefault="00FD4139" w:rsidP="00FD4139">
      <w:pPr>
        <w:jc w:val="center"/>
        <w:rPr>
          <w:bCs/>
        </w:rPr>
      </w:pPr>
      <w:r w:rsidRPr="00FD4139">
        <w:rPr>
          <w:bCs/>
        </w:rPr>
        <w:t>РЕШЕНИЕ</w:t>
      </w:r>
    </w:p>
    <w:p w14:paraId="694DD8D5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14:paraId="6A8441B6" w14:textId="00EAA6EC"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5B5890">
        <w:rPr>
          <w:sz w:val="28"/>
          <w:szCs w:val="28"/>
        </w:rPr>
        <w:t>30.09.</w:t>
      </w:r>
      <w:r w:rsidRPr="00700821">
        <w:rPr>
          <w:sz w:val="28"/>
          <w:szCs w:val="28"/>
        </w:rPr>
        <w:t>2021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                                  № </w:t>
      </w:r>
      <w:r w:rsidR="005B5890">
        <w:rPr>
          <w:sz w:val="28"/>
          <w:szCs w:val="28"/>
        </w:rPr>
        <w:t>13-39</w:t>
      </w:r>
      <w:r w:rsidR="00FD4139">
        <w:rPr>
          <w:sz w:val="28"/>
          <w:szCs w:val="28"/>
        </w:rPr>
        <w:t>Р</w:t>
      </w:r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667EFAE5" w14:textId="77777777" w:rsidR="00FD4139" w:rsidRDefault="00D03C14" w:rsidP="00FD4139">
      <w:pPr>
        <w:rPr>
          <w:bCs/>
          <w:color w:val="000000"/>
          <w:sz w:val="28"/>
          <w:szCs w:val="28"/>
        </w:rPr>
      </w:pPr>
      <w:r w:rsidRPr="00FD4139">
        <w:rPr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</w:p>
    <w:p w14:paraId="15A0F9F0" w14:textId="306C105D" w:rsidR="00D03C14" w:rsidRPr="00FD4139" w:rsidRDefault="00D03C14" w:rsidP="00FD4139">
      <w:r w:rsidRPr="00FD4139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FD4139" w:rsidRPr="00FD4139">
        <w:rPr>
          <w:bCs/>
          <w:color w:val="000000"/>
          <w:sz w:val="28"/>
          <w:szCs w:val="28"/>
        </w:rPr>
        <w:t>Абанского сельсовета</w:t>
      </w: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D80A36C" w14:textId="7CDE1E2A" w:rsidR="00D03C14" w:rsidRPr="00700821" w:rsidRDefault="00D03C14" w:rsidP="00FD4139">
      <w:pPr>
        <w:shd w:val="clear" w:color="auto" w:fill="FFFFFF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FD4139" w:rsidRPr="00FD4139">
        <w:rPr>
          <w:bCs/>
          <w:color w:val="000000"/>
          <w:sz w:val="28"/>
          <w:szCs w:val="28"/>
        </w:rPr>
        <w:t xml:space="preserve">Абанского сельсовета Абанского района Красноярского края, </w:t>
      </w: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14:paraId="1B0A25B4" w14:textId="008DA8AE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FD4139">
        <w:rPr>
          <w:color w:val="000000"/>
          <w:sz w:val="28"/>
          <w:szCs w:val="28"/>
        </w:rPr>
        <w:t>Абанского сельсовета.</w:t>
      </w:r>
    </w:p>
    <w:p w14:paraId="6F551818" w14:textId="3F7C3A20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FD4139" w:rsidRPr="00FD4139">
        <w:rPr>
          <w:color w:val="000000"/>
          <w:sz w:val="28"/>
          <w:szCs w:val="28"/>
        </w:rPr>
        <w:t>Абанского сельсовета</w:t>
      </w:r>
      <w:r w:rsidR="00FD4139">
        <w:rPr>
          <w:color w:val="000000"/>
          <w:sz w:val="28"/>
          <w:szCs w:val="28"/>
        </w:rPr>
        <w:t>.</w:t>
      </w:r>
    </w:p>
    <w:p w14:paraId="2E8A4948" w14:textId="0CAFA4BD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FD4139" w:rsidRPr="00FD4139">
        <w:rPr>
          <w:color w:val="000000"/>
          <w:sz w:val="28"/>
          <w:szCs w:val="28"/>
        </w:rPr>
        <w:t>Абанского сельсовета</w:t>
      </w:r>
      <w:r w:rsidR="00FD4139" w:rsidRPr="00FD4139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9F1F1E0" w14:textId="77777777" w:rsidR="00FD4139" w:rsidRDefault="00FD4139" w:rsidP="00FD413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47257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Абанского</w:t>
      </w:r>
    </w:p>
    <w:p w14:paraId="01D9088D" w14:textId="77777777" w:rsidR="00FD4139" w:rsidRPr="00463EDF" w:rsidRDefault="00FD4139" w:rsidP="00FD413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           Л.А. Литус</w:t>
      </w:r>
    </w:p>
    <w:p w14:paraId="7E29CB75" w14:textId="77777777" w:rsidR="00FD4139" w:rsidRPr="00463EDF" w:rsidRDefault="00FD4139" w:rsidP="00FD413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46F373A" w14:textId="77777777" w:rsidR="00FD4139" w:rsidRPr="00463EDF" w:rsidRDefault="00FD4139" w:rsidP="00FD413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D8E34D" w14:textId="77777777" w:rsidR="00FD4139" w:rsidRDefault="00FD4139" w:rsidP="00FD4139">
      <w:pPr>
        <w:rPr>
          <w:bCs/>
          <w:color w:val="000000"/>
          <w:sz w:val="28"/>
          <w:szCs w:val="28"/>
        </w:rPr>
        <w:sectPr w:rsidR="00FD4139" w:rsidSect="00FD4139">
          <w:headerReference w:type="even" r:id="rId9"/>
          <w:headerReference w:type="default" r:id="rId10"/>
          <w:pgSz w:w="11906" w:h="16838"/>
          <w:pgMar w:top="1134" w:right="851" w:bottom="1134" w:left="1701" w:header="720" w:footer="720" w:gutter="0"/>
          <w:cols w:space="720"/>
          <w:titlePg/>
          <w:docGrid w:linePitch="381"/>
        </w:sectPr>
      </w:pPr>
      <w:r w:rsidRPr="007F06C0">
        <w:rPr>
          <w:sz w:val="28"/>
          <w:szCs w:val="28"/>
        </w:rPr>
        <w:t xml:space="preserve">Глава </w:t>
      </w:r>
      <w:r>
        <w:rPr>
          <w:bCs/>
          <w:color w:val="000000"/>
          <w:sz w:val="28"/>
          <w:szCs w:val="28"/>
        </w:rPr>
        <w:t xml:space="preserve">Абанского </w:t>
      </w:r>
      <w:r w:rsidRPr="007F06C0">
        <w:rPr>
          <w:bCs/>
          <w:color w:val="000000"/>
          <w:sz w:val="28"/>
          <w:szCs w:val="28"/>
        </w:rPr>
        <w:t>сель</w:t>
      </w:r>
      <w:r>
        <w:rPr>
          <w:bCs/>
          <w:color w:val="000000"/>
          <w:sz w:val="28"/>
          <w:szCs w:val="28"/>
        </w:rPr>
        <w:t>с</w:t>
      </w:r>
      <w:r w:rsidRPr="007F06C0">
        <w:rPr>
          <w:bCs/>
          <w:color w:val="000000"/>
          <w:sz w:val="28"/>
          <w:szCs w:val="28"/>
        </w:rPr>
        <w:t xml:space="preserve">овета </w:t>
      </w:r>
      <w:r>
        <w:rPr>
          <w:bCs/>
          <w:color w:val="000000"/>
          <w:sz w:val="28"/>
          <w:szCs w:val="28"/>
        </w:rPr>
        <w:t xml:space="preserve">                                                          Н.М. Жумарин</w:t>
      </w:r>
    </w:p>
    <w:p w14:paraId="338F6633" w14:textId="77777777" w:rsidR="00FD4139" w:rsidRDefault="00FD4139" w:rsidP="00FD4139">
      <w:pPr>
        <w:tabs>
          <w:tab w:val="num" w:pos="200"/>
        </w:tabs>
        <w:ind w:firstLine="5670"/>
        <w:outlineLvl w:val="0"/>
      </w:pPr>
      <w:r>
        <w:lastRenderedPageBreak/>
        <w:t>Приложение</w:t>
      </w:r>
    </w:p>
    <w:p w14:paraId="1F508BC5" w14:textId="77777777" w:rsidR="00FD4139" w:rsidRDefault="00FD4139" w:rsidP="00FD4139">
      <w:pPr>
        <w:tabs>
          <w:tab w:val="num" w:pos="200"/>
        </w:tabs>
        <w:ind w:firstLine="5670"/>
        <w:outlineLvl w:val="0"/>
      </w:pPr>
      <w:r>
        <w:t xml:space="preserve">к Решению Абанского </w:t>
      </w:r>
    </w:p>
    <w:p w14:paraId="700EC4DA" w14:textId="77777777" w:rsidR="00FD4139" w:rsidRDefault="00FD4139" w:rsidP="00FD4139">
      <w:pPr>
        <w:tabs>
          <w:tab w:val="num" w:pos="200"/>
        </w:tabs>
        <w:ind w:firstLine="5670"/>
        <w:outlineLvl w:val="0"/>
      </w:pPr>
      <w:r>
        <w:t xml:space="preserve">сельского Совета депутатов </w:t>
      </w:r>
    </w:p>
    <w:p w14:paraId="01A2D98F" w14:textId="4A09CDD8" w:rsidR="00FD4139" w:rsidRDefault="00FD4139" w:rsidP="00FD4139">
      <w:pPr>
        <w:tabs>
          <w:tab w:val="num" w:pos="200"/>
        </w:tabs>
        <w:ind w:firstLine="5670"/>
        <w:outlineLvl w:val="0"/>
      </w:pPr>
      <w:r>
        <w:t xml:space="preserve">от </w:t>
      </w:r>
      <w:r w:rsidR="005B5890">
        <w:t>30.09.2021 №13-39Р</w:t>
      </w:r>
    </w:p>
    <w:p w14:paraId="5F80E7E3" w14:textId="77777777" w:rsidR="00FD4139" w:rsidRDefault="00FD4139" w:rsidP="00FD4139">
      <w:pPr>
        <w:tabs>
          <w:tab w:val="num" w:pos="200"/>
        </w:tabs>
        <w:outlineLvl w:val="0"/>
      </w:pPr>
    </w:p>
    <w:p w14:paraId="6F4CDE5B" w14:textId="77777777" w:rsidR="00FD4139" w:rsidRPr="00463EDF" w:rsidRDefault="00FD4139" w:rsidP="00FD4139">
      <w:pPr>
        <w:tabs>
          <w:tab w:val="num" w:pos="200"/>
        </w:tabs>
        <w:ind w:left="4536"/>
        <w:jc w:val="center"/>
        <w:outlineLvl w:val="0"/>
      </w:pPr>
      <w:r w:rsidRPr="00463EDF">
        <w:t>УТВЕРЖДЕНО</w:t>
      </w:r>
    </w:p>
    <w:p w14:paraId="23C28920" w14:textId="77777777" w:rsidR="00D715CC" w:rsidRDefault="00FD4139" w:rsidP="00FD4139">
      <w:pPr>
        <w:ind w:left="4536"/>
        <w:jc w:val="center"/>
        <w:rPr>
          <w:color w:val="000000"/>
        </w:rPr>
      </w:pPr>
      <w:r w:rsidRPr="00463EDF">
        <w:rPr>
          <w:color w:val="000000"/>
        </w:rPr>
        <w:t xml:space="preserve">решением </w:t>
      </w:r>
      <w:r>
        <w:rPr>
          <w:color w:val="000000"/>
        </w:rPr>
        <w:t>Абанского сельского Совета депутатов Абанского района</w:t>
      </w:r>
    </w:p>
    <w:p w14:paraId="72FB4E21" w14:textId="01F15E7D" w:rsidR="00FD4139" w:rsidRPr="00463EDF" w:rsidRDefault="00FD4139" w:rsidP="00FD4139">
      <w:pPr>
        <w:ind w:left="4536"/>
        <w:jc w:val="center"/>
        <w:rPr>
          <w:color w:val="000000"/>
        </w:rPr>
      </w:pPr>
      <w:r>
        <w:rPr>
          <w:color w:val="000000"/>
        </w:rPr>
        <w:t>Красноярского края</w:t>
      </w:r>
    </w:p>
    <w:p w14:paraId="2DF1389B" w14:textId="18A48822" w:rsidR="00FD4139" w:rsidRPr="00463EDF" w:rsidRDefault="00FD4139" w:rsidP="00FD4139">
      <w:pPr>
        <w:tabs>
          <w:tab w:val="num" w:pos="200"/>
        </w:tabs>
        <w:ind w:left="4536"/>
        <w:jc w:val="center"/>
        <w:outlineLvl w:val="0"/>
      </w:pPr>
      <w:r w:rsidRPr="00463EDF">
        <w:t xml:space="preserve">от </w:t>
      </w:r>
      <w:r w:rsidR="005B5890">
        <w:t>30</w:t>
      </w:r>
      <w:bookmarkStart w:id="0" w:name="_GoBack"/>
      <w:bookmarkEnd w:id="0"/>
      <w:r w:rsidR="005B5890">
        <w:t>.09.2021 №13-39Р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48F22C46" w:rsidR="00D03C14" w:rsidRPr="00FD4139" w:rsidRDefault="00D03C14" w:rsidP="00FD4139">
      <w:pPr>
        <w:jc w:val="center"/>
        <w:rPr>
          <w:i/>
          <w:iCs/>
          <w:color w:val="000000"/>
        </w:rPr>
      </w:pPr>
      <w:r w:rsidRPr="00FD4139">
        <w:rPr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FD4139">
        <w:rPr>
          <w:color w:val="000000"/>
          <w:sz w:val="28"/>
          <w:szCs w:val="28"/>
        </w:rPr>
        <w:t xml:space="preserve"> </w:t>
      </w:r>
      <w:r w:rsidR="00FD4139" w:rsidRPr="00FD4139">
        <w:rPr>
          <w:color w:val="000000"/>
          <w:sz w:val="28"/>
          <w:szCs w:val="28"/>
        </w:rPr>
        <w:t>Абанского сельсовета</w:t>
      </w:r>
    </w:p>
    <w:p w14:paraId="22D4535B" w14:textId="77777777" w:rsidR="00D03C14" w:rsidRPr="00700821" w:rsidRDefault="00D03C14" w:rsidP="00FD4139">
      <w:pPr>
        <w:jc w:val="center"/>
      </w:pPr>
    </w:p>
    <w:p w14:paraId="468E9609" w14:textId="77777777" w:rsidR="00D03C14" w:rsidRPr="00FD4139" w:rsidRDefault="00D03C14" w:rsidP="00FD4139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4139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14:paraId="671EB826" w14:textId="3D0375E0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D4139" w:rsidRPr="00FD4139">
        <w:rPr>
          <w:rFonts w:ascii="Times New Roman" w:hAnsi="Times New Roman" w:cs="Times New Roman"/>
          <w:color w:val="000000"/>
          <w:sz w:val="28"/>
          <w:szCs w:val="28"/>
        </w:rPr>
        <w:t>Абанского сельсовета</w:t>
      </w:r>
      <w:r w:rsidR="00FD4139"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398EB224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FD4139" w:rsidRPr="00FD4139">
        <w:rPr>
          <w:rFonts w:ascii="Times New Roman" w:hAnsi="Times New Roman" w:cs="Times New Roman"/>
          <w:color w:val="000000"/>
          <w:sz w:val="28"/>
          <w:szCs w:val="28"/>
        </w:rPr>
        <w:t>Абанского сельсовета</w:t>
      </w:r>
      <w:r w:rsidR="00FD4139" w:rsidRPr="00FD4139"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08D902AE" w:rsidR="00D03C14" w:rsidRPr="00700821" w:rsidRDefault="00D03C14" w:rsidP="00FD413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FD4139" w:rsidRPr="00FD4139">
        <w:rPr>
          <w:color w:val="000000"/>
          <w:sz w:val="28"/>
          <w:szCs w:val="28"/>
        </w:rPr>
        <w:t>Абанского сельсовета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352899A0" w:rsidR="00D03C14" w:rsidRPr="00700821" w:rsidRDefault="00D03C14" w:rsidP="00FD413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FD4139" w:rsidRPr="00FD4139">
        <w:rPr>
          <w:color w:val="000000"/>
          <w:sz w:val="28"/>
          <w:szCs w:val="28"/>
        </w:rPr>
        <w:t xml:space="preserve">глава сельсовета и специалист администрации Абанского сельсовета </w:t>
      </w:r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FD4139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FD413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FD413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4B07656C" w:rsidR="00D03C14" w:rsidRPr="00700821" w:rsidRDefault="00D03C14" w:rsidP="00FD413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FD413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FD413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74881149" w:rsidR="00D03C14" w:rsidRPr="00700821" w:rsidRDefault="00D03C14" w:rsidP="00FD413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FD4139">
        <w:rPr>
          <w:sz w:val="28"/>
          <w:szCs w:val="28"/>
        </w:rPr>
        <w:t>Абанского сельсовета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FD413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FD413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7680B892" w:rsidR="00D03C14" w:rsidRPr="00700821" w:rsidRDefault="00D03C14" w:rsidP="00FD413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FD4139" w:rsidRPr="00FD4139">
        <w:rPr>
          <w:color w:val="000000"/>
          <w:sz w:val="28"/>
          <w:szCs w:val="28"/>
        </w:rPr>
        <w:t>Абанского сельсовета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6D71867A" w:rsidR="00D03C14" w:rsidRPr="00700821" w:rsidRDefault="00D03C14" w:rsidP="00FD413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E053BE" w:rsidRPr="00E053BE">
        <w:rPr>
          <w:color w:val="000000"/>
          <w:sz w:val="28"/>
          <w:szCs w:val="28"/>
        </w:rPr>
        <w:t>Абанского сельсовета</w:t>
      </w:r>
      <w:r w:rsidR="00E053BE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FD413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FD413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5DA74D5D" w:rsidR="00D03C14" w:rsidRPr="00700821" w:rsidRDefault="00D03C14" w:rsidP="00FD413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</w:t>
      </w:r>
      <w:r w:rsidRPr="00700821">
        <w:rPr>
          <w:color w:val="000000"/>
          <w:sz w:val="28"/>
          <w:szCs w:val="28"/>
        </w:rPr>
        <w:lastRenderedPageBreak/>
        <w:t>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700821" w:rsidRDefault="00D03C14" w:rsidP="00FD413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FD413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FD413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FD413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FD413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FD413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FD413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FD413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FD413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FD413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FD413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FD413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64FD80D" w:rsidR="00D03C14" w:rsidRPr="001C09A3" w:rsidRDefault="00D03C14" w:rsidP="00FD413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702060CF" w:rsidR="00D03C14" w:rsidRPr="001C09A3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FD4139">
      <w:pPr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E053BE" w:rsidRDefault="00D03C14" w:rsidP="00FD4139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53BE">
        <w:rPr>
          <w:rFonts w:ascii="Times New Roman" w:hAnsi="Times New Roman" w:cs="Times New Roman"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FD41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5A740EBA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E053BE">
        <w:rPr>
          <w:rFonts w:ascii="Times New Roman" w:hAnsi="Times New Roman" w:cs="Times New Roman"/>
          <w:color w:val="000000"/>
          <w:sz w:val="28"/>
          <w:szCs w:val="28"/>
        </w:rPr>
        <w:t>Абанского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3165CC43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295A0640" w:rsidR="00D03C14" w:rsidRPr="00700821" w:rsidRDefault="00D03C14" w:rsidP="00FD413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 w:history="1">
        <w:r w:rsidRPr="005B5890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5B58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38C3B3D4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E053BE">
        <w:rPr>
          <w:rFonts w:ascii="Times New Roman" w:hAnsi="Times New Roman" w:cs="Times New Roman"/>
          <w:color w:val="000000"/>
          <w:sz w:val="28"/>
          <w:szCs w:val="28"/>
        </w:rPr>
        <w:t>Абанского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2BCA90D1" w:rsidR="00D03C14" w:rsidRPr="00700821" w:rsidRDefault="00D03C14" w:rsidP="00FD413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E053BE">
        <w:rPr>
          <w:color w:val="000000"/>
          <w:sz w:val="28"/>
          <w:szCs w:val="28"/>
        </w:rPr>
        <w:t>Абанского сельсовета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17920318" w:rsidR="00D03C14" w:rsidRPr="00700821" w:rsidRDefault="00D03C14" w:rsidP="00FD413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</w:t>
      </w:r>
      <w:r w:rsidR="00E053BE">
        <w:rPr>
          <w:color w:val="000000"/>
          <w:sz w:val="28"/>
          <w:szCs w:val="28"/>
          <w:shd w:val="clear" w:color="auto" w:fill="FFFFFF"/>
        </w:rPr>
        <w:t>йской Федерации от 31.03.2021 №</w:t>
      </w:r>
      <w:r w:rsidRPr="00700821">
        <w:rPr>
          <w:color w:val="000000"/>
          <w:sz w:val="28"/>
          <w:szCs w:val="28"/>
          <w:shd w:val="clear" w:color="auto" w:fill="FFFFFF"/>
        </w:rPr>
        <w:t>151</w:t>
      </w:r>
      <w:r w:rsidR="00E053BE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2343DEE8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E053BE">
        <w:rPr>
          <w:rFonts w:ascii="Times New Roman" w:hAnsi="Times New Roman" w:cs="Times New Roman"/>
          <w:color w:val="000000"/>
          <w:sz w:val="28"/>
          <w:szCs w:val="28"/>
        </w:rPr>
        <w:t>Абанского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78FD8BB9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E053BE" w:rsidRPr="00E053BE">
        <w:rPr>
          <w:rFonts w:ascii="Times New Roman" w:hAnsi="Times New Roman" w:cs="Times New Roman"/>
          <w:color w:val="000000"/>
          <w:sz w:val="28"/>
          <w:szCs w:val="28"/>
        </w:rPr>
        <w:t xml:space="preserve">Абанского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E053BE" w:rsidRDefault="00D03C14" w:rsidP="00FD4139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53BE">
        <w:rPr>
          <w:rFonts w:ascii="Times New Roman" w:hAnsi="Times New Roman" w:cs="Times New Roman"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FD41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FD413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</w:t>
      </w:r>
      <w:r w:rsidRPr="00700821">
        <w:rPr>
          <w:color w:val="000000"/>
          <w:sz w:val="28"/>
          <w:szCs w:val="28"/>
        </w:rPr>
        <w:lastRenderedPageBreak/>
        <w:t xml:space="preserve">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FD4139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FD413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4474A9F4" w:rsidR="00D03C14" w:rsidRPr="00700821" w:rsidRDefault="008629D3" w:rsidP="00FD413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E053BE" w:rsidRPr="00E053BE">
        <w:rPr>
          <w:rFonts w:ascii="Times New Roman" w:hAnsi="Times New Roman" w:cs="Times New Roman"/>
          <w:color w:val="000000"/>
          <w:sz w:val="28"/>
          <w:szCs w:val="28"/>
        </w:rPr>
        <w:t>Абанского сельсовета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2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3" w:history="1">
        <w:r w:rsidR="00D03C14" w:rsidRPr="00E053BE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812C007" w:rsidR="00D03C14" w:rsidRPr="00700821" w:rsidRDefault="008629D3" w:rsidP="00FD41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E053BE">
        <w:rPr>
          <w:color w:val="000000"/>
          <w:sz w:val="28"/>
          <w:szCs w:val="28"/>
          <w:shd w:val="clear" w:color="auto" w:fill="FFFFFF"/>
        </w:rPr>
        <w:t xml:space="preserve"> </w:t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4" w:history="1">
        <w:r w:rsidR="00D03C14" w:rsidRPr="00E053BE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FD413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FD413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FD413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FD4139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FD4139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700821" w:rsidRDefault="00D03C14" w:rsidP="00FD4139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5" w:history="1">
        <w:r w:rsidRPr="00E053BE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FD413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125DBA2B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00821" w:rsidRDefault="008629D3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FD413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7D76C10B" w:rsidR="00D03C14" w:rsidRPr="00700821" w:rsidRDefault="008629D3" w:rsidP="00FD4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E053BE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FD4139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4FD8AC1F" w:rsidR="00D03C14" w:rsidRPr="00E053BE" w:rsidRDefault="00D03C14" w:rsidP="00FD4139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53BE">
        <w:rPr>
          <w:rFonts w:ascii="Times New Roman" w:hAnsi="Times New Roman" w:cs="Times New Roman"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E053BE" w:rsidRDefault="00D03C14" w:rsidP="00FD4139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731043FD" w:rsidR="00D03C14" w:rsidRPr="00700821" w:rsidRDefault="00D03C14" w:rsidP="00FD4139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E053BE" w:rsidRPr="00E053BE">
        <w:rPr>
          <w:rFonts w:ascii="Times New Roman" w:hAnsi="Times New Roman" w:cs="Times New Roman"/>
          <w:color w:val="000000"/>
          <w:sz w:val="28"/>
          <w:szCs w:val="28"/>
        </w:rPr>
        <w:t xml:space="preserve">Абанского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E053BE">
        <w:rPr>
          <w:rFonts w:ascii="Times New Roman" w:hAnsi="Times New Roman" w:cs="Times New Roman"/>
          <w:color w:val="000000"/>
          <w:sz w:val="28"/>
          <w:szCs w:val="28"/>
        </w:rPr>
        <w:t>Абанского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1E1EE974" w:rsidR="00D03C14" w:rsidRPr="008629D3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E053BE" w:rsidRPr="00E053BE">
        <w:rPr>
          <w:rFonts w:ascii="Times New Roman" w:hAnsi="Times New Roman" w:cs="Times New Roman"/>
          <w:color w:val="000000"/>
          <w:sz w:val="28"/>
          <w:szCs w:val="28"/>
        </w:rPr>
        <w:t>Абанского сельсовета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1305890" w:rsidR="00D03C14" w:rsidRPr="00700821" w:rsidRDefault="00D03C14" w:rsidP="00FD41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E053BE" w:rsidRPr="00E053BE">
        <w:rPr>
          <w:rFonts w:ascii="Times New Roman" w:hAnsi="Times New Roman" w:cs="Times New Roman"/>
          <w:color w:val="000000"/>
          <w:sz w:val="28"/>
          <w:szCs w:val="28"/>
        </w:rPr>
        <w:t xml:space="preserve">Абанского сельсовета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13B93796" w14:textId="77777777" w:rsidR="00D03C14" w:rsidRPr="00700821" w:rsidRDefault="00D03C14" w:rsidP="00FD4139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E053BE" w:rsidRDefault="00D03C14" w:rsidP="00FD4139">
      <w:pPr>
        <w:pStyle w:val="1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53B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</w:t>
      </w:r>
      <w:r w:rsidRPr="00E05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3BE">
        <w:rPr>
          <w:rFonts w:ascii="Times New Roman" w:hAnsi="Times New Roman" w:cs="Times New Roman"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FD4139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FD4139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3E9A9F90" w14:textId="60FB6B2B" w:rsidR="00915CD9" w:rsidRDefault="00D03C14" w:rsidP="009F646C">
      <w:pPr>
        <w:pStyle w:val="14"/>
        <w:ind w:firstLine="709"/>
        <w:jc w:val="both"/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E053BE" w:rsidRPr="00E053BE">
        <w:rPr>
          <w:rFonts w:ascii="Times New Roman" w:hAnsi="Times New Roman" w:cs="Times New Roman"/>
          <w:bCs/>
          <w:color w:val="000000"/>
          <w:sz w:val="28"/>
          <w:szCs w:val="28"/>
        </w:rPr>
        <w:t>Абанским сельским Советом депутатов.</w:t>
      </w:r>
    </w:p>
    <w:sectPr w:rsidR="00915CD9" w:rsidSect="00FD4139"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9058A" w14:textId="77777777" w:rsidR="00E805B9" w:rsidRDefault="00E805B9" w:rsidP="00D03C14">
      <w:r>
        <w:separator/>
      </w:r>
    </w:p>
  </w:endnote>
  <w:endnote w:type="continuationSeparator" w:id="0">
    <w:p w14:paraId="221AD6C5" w14:textId="77777777" w:rsidR="00E805B9" w:rsidRDefault="00E805B9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0E41D" w14:textId="77777777" w:rsidR="00E805B9" w:rsidRDefault="00E805B9" w:rsidP="00D03C14">
      <w:r>
        <w:separator/>
      </w:r>
    </w:p>
  </w:footnote>
  <w:footnote w:type="continuationSeparator" w:id="0">
    <w:p w14:paraId="1C50C4F3" w14:textId="77777777" w:rsidR="00E805B9" w:rsidRDefault="00E805B9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E805B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74D3C7F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715CC">
      <w:rPr>
        <w:rStyle w:val="afb"/>
        <w:noProof/>
      </w:rPr>
      <w:t>16</w:t>
    </w:r>
    <w:r>
      <w:rPr>
        <w:rStyle w:val="afb"/>
      </w:rPr>
      <w:fldChar w:fldCharType="end"/>
    </w:r>
  </w:p>
  <w:p w14:paraId="3E85C035" w14:textId="77777777" w:rsidR="00E90F25" w:rsidRDefault="00E805B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2652C1"/>
    <w:rsid w:val="005B5890"/>
    <w:rsid w:val="007100F8"/>
    <w:rsid w:val="008629D3"/>
    <w:rsid w:val="00935631"/>
    <w:rsid w:val="009B3C85"/>
    <w:rsid w:val="009D07EB"/>
    <w:rsid w:val="009E7606"/>
    <w:rsid w:val="009F2318"/>
    <w:rsid w:val="009F646C"/>
    <w:rsid w:val="00AE4373"/>
    <w:rsid w:val="00D03C14"/>
    <w:rsid w:val="00D715CC"/>
    <w:rsid w:val="00E053BE"/>
    <w:rsid w:val="00E805B9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52E61-9988-4E58-9B30-B4503379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5758</Words>
  <Characters>32823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ffff</cp:lastModifiedBy>
  <cp:revision>4</cp:revision>
  <cp:lastPrinted>2023-08-25T03:56:00Z</cp:lastPrinted>
  <dcterms:created xsi:type="dcterms:W3CDTF">2021-09-30T01:18:00Z</dcterms:created>
  <dcterms:modified xsi:type="dcterms:W3CDTF">2023-08-25T03:56:00Z</dcterms:modified>
</cp:coreProperties>
</file>